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A2" w:rsidRDefault="00877CA2" w:rsidP="000D076D">
      <w:pPr>
        <w:spacing w:line="360" w:lineRule="auto"/>
        <w:jc w:val="both"/>
      </w:pPr>
      <w:bookmarkStart w:id="0" w:name="_GoBack"/>
      <w:bookmarkEnd w:id="0"/>
      <w:r>
        <w:t xml:space="preserve">Mega causa dictamen de fiscalía: </w:t>
      </w:r>
    </w:p>
    <w:p w:rsidR="00877CA2" w:rsidRDefault="00877CA2" w:rsidP="000D076D">
      <w:pPr>
        <w:spacing w:line="360" w:lineRule="auto"/>
        <w:jc w:val="both"/>
      </w:pPr>
    </w:p>
    <w:p w:rsidR="001B693F" w:rsidRDefault="00951971" w:rsidP="000D076D">
      <w:pPr>
        <w:spacing w:line="360" w:lineRule="auto"/>
        <w:jc w:val="both"/>
      </w:pPr>
      <w:r>
        <w:t xml:space="preserve">Ante la difusión </w:t>
      </w:r>
      <w:r w:rsidR="00D02668">
        <w:t xml:space="preserve">previa </w:t>
      </w:r>
      <w:r>
        <w:t xml:space="preserve">de los actos cumplidos por </w:t>
      </w:r>
      <w:r w:rsidR="00DC3ABA">
        <w:t>la Fiscalía de Investigación Penal Preparatoria Nº 2, d</w:t>
      </w:r>
      <w:r>
        <w:t xml:space="preserve">el Ministerio Público de la Acusación, en el marco de la tramitación de la causa </w:t>
      </w:r>
      <w:r w:rsidR="00C91474">
        <w:t xml:space="preserve">por </w:t>
      </w:r>
      <w:r w:rsidR="00C91474" w:rsidRPr="00BA2611">
        <w:rPr>
          <w:rFonts w:cs="Courier New"/>
        </w:rPr>
        <w:t xml:space="preserve">Expte. </w:t>
      </w:r>
      <w:r w:rsidR="00C91474" w:rsidRPr="00BA2611">
        <w:rPr>
          <w:rFonts w:cs="Courier New"/>
          <w:b/>
        </w:rPr>
        <w:t>P-140.750/16</w:t>
      </w:r>
      <w:r w:rsidR="00C91474" w:rsidRPr="00BA2611">
        <w:rPr>
          <w:rFonts w:cs="Courier New"/>
        </w:rPr>
        <w:t xml:space="preserve">, recaratulado: </w:t>
      </w:r>
      <w:r w:rsidR="00C91474">
        <w:rPr>
          <w:rFonts w:cs="Courier New"/>
        </w:rPr>
        <w:t>“</w:t>
      </w:r>
      <w:r w:rsidR="00C91474" w:rsidRPr="00BA2611">
        <w:rPr>
          <w:rFonts w:cs="Courier New"/>
        </w:rPr>
        <w:t xml:space="preserve">FELLNER, EDUARDO ALFREDO; COSENTINI, LUIS HORACIO p.s.a. de ABUSO DE AUTORIDAD, FALSIFICACION IDEOLOGICA DE INSTRUMENTO PUBLICO , EN CONCURSO IDEAL; AMBOS EN CONCURSO REAL CON EL DELITO DE FRAUDE A </w:t>
      </w:r>
      <w:smartTag w:uri="urn:schemas-microsoft-com:office:smarttags" w:element="PersonName">
        <w:smartTagPr>
          <w:attr w:name="ProductID" w:val="LA ADMINISTRACION PUBLICA."/>
        </w:smartTagPr>
        <w:r w:rsidR="00C91474" w:rsidRPr="00BA2611">
          <w:rPr>
            <w:rFonts w:cs="Courier New"/>
          </w:rPr>
          <w:t>LA ADMINISTRACION PUBLICA.</w:t>
        </w:r>
      </w:smartTag>
      <w:r w:rsidR="00C91474" w:rsidRPr="00BA2611">
        <w:rPr>
          <w:rFonts w:cs="Courier New"/>
        </w:rPr>
        <w:t xml:space="preserve"> CARRIZO, HECTOR GUSTAVO Y MERCADO, JOSE LUIS p.s.a. de ABUSO DE AUTORIDAD Y VIOLACION DE LOS DEBERES DE LOS FUNCIONARIOS PUBLICOS CON FRAUDE A LA ADMINISTRACION PÚBLICA EN CONCURSO REAL. SALA DE NORO, MILAGRO ANGELA AMALIA p.s.a. de FRAUDE A LA ADMINISTRACION PÚBLICA. LOPEZ, JOSE FRANCISCO Y NIVELLO, GERMAN ARIEL p.s.a. de ABUSO DE AUTORIDAD Y FRAUDE A LA ADMINISTRACION PÚBLICA, EN CONCURSO REAL. CIUDAD”</w:t>
      </w:r>
      <w:r w:rsidR="00C91474">
        <w:rPr>
          <w:rFonts w:cs="Courier New"/>
        </w:rPr>
        <w:t xml:space="preserve"> </w:t>
      </w:r>
      <w:r w:rsidR="00844723" w:rsidRPr="002A0A2C">
        <w:rPr>
          <w:rFonts w:cs="Courier New"/>
          <w:b/>
        </w:rPr>
        <w:t>e</w:t>
      </w:r>
      <w:r w:rsidR="00C91474" w:rsidRPr="002A0A2C">
        <w:rPr>
          <w:rFonts w:cs="Courier New"/>
          <w:b/>
        </w:rPr>
        <w:t>l Departamento de Prensa del Ministerio Público de la Acusación</w:t>
      </w:r>
      <w:r>
        <w:t xml:space="preserve"> informa a la opinión pública </w:t>
      </w:r>
      <w:r w:rsidR="001B693F">
        <w:t>lo siguiente:</w:t>
      </w:r>
    </w:p>
    <w:p w:rsidR="000D076D" w:rsidRDefault="001B693F" w:rsidP="000D076D">
      <w:pPr>
        <w:spacing w:line="360" w:lineRule="auto"/>
        <w:jc w:val="both"/>
      </w:pPr>
      <w:r>
        <w:t>E</w:t>
      </w:r>
      <w:r w:rsidR="00C91474">
        <w:t xml:space="preserve">n fecha 02/06/17 </w:t>
      </w:r>
      <w:r w:rsidR="004D3EDE">
        <w:t>se</w:t>
      </w:r>
      <w:r w:rsidR="003071AF">
        <w:t xml:space="preserve"> </w:t>
      </w:r>
      <w:r w:rsidR="000D076D">
        <w:t>promo</w:t>
      </w:r>
      <w:r w:rsidR="00C91474">
        <w:t>vió</w:t>
      </w:r>
      <w:r w:rsidR="000D076D">
        <w:t xml:space="preserve"> acción penal </w:t>
      </w:r>
      <w:r w:rsidR="00C91474">
        <w:t xml:space="preserve">ampliando la imputación en </w:t>
      </w:r>
      <w:r w:rsidR="000D076D">
        <w:t>contra de Eduardo Alfredo Fellner, Luis Horacio Consentini, como organizadores de Asociación ilícita, artículo 210 del Código Penal, y ampliando promoción de acción pública, en contra de los mismos, por coautoría de fraude a la administración pública por administración infiel, (16 hechos) todos en concurso real, conforme los artículos 360 y c.c. del C.P.P. y artículos 210, 174 inciso 5 y 55 del Código Penal de la Nación.</w:t>
      </w:r>
    </w:p>
    <w:p w:rsidR="000D076D" w:rsidRDefault="002A0A2C" w:rsidP="000D076D">
      <w:pPr>
        <w:spacing w:line="360" w:lineRule="auto"/>
        <w:jc w:val="both"/>
      </w:pPr>
      <w:r>
        <w:t>S</w:t>
      </w:r>
      <w:r w:rsidR="00844723">
        <w:t xml:space="preserve">e </w:t>
      </w:r>
      <w:r w:rsidR="000D076D">
        <w:t>prom</w:t>
      </w:r>
      <w:r w:rsidR="00844723">
        <w:t>ovió</w:t>
      </w:r>
      <w:r w:rsidR="000D076D">
        <w:t xml:space="preserve"> acción penal en contra de Héctor Gustavo Carrizo, José Luis Mercado, José Lucio Abregú, como integrantes del delito de Asociación ilícita y coautoría de fraude a la administración pública por administración infiel, (16 </w:t>
      </w:r>
      <w:r w:rsidR="000D076D">
        <w:lastRenderedPageBreak/>
        <w:t xml:space="preserve">hechos) todos en concurso real, conforme los artículos 360 y c.c. del C.P.P. y artículos 210, 174 inciso 5 y 55 del Código Penal de la Nación.  </w:t>
      </w:r>
    </w:p>
    <w:p w:rsidR="000D076D" w:rsidRDefault="000D076D" w:rsidP="000D076D">
      <w:pPr>
        <w:spacing w:line="360" w:lineRule="auto"/>
        <w:jc w:val="both"/>
      </w:pPr>
      <w:r>
        <w:t xml:space="preserve">Asimismo </w:t>
      </w:r>
      <w:r w:rsidR="00844723">
        <w:t xml:space="preserve">se </w:t>
      </w:r>
      <w:r>
        <w:t>ampl</w:t>
      </w:r>
      <w:r w:rsidR="00844723">
        <w:t xml:space="preserve">ió </w:t>
      </w:r>
      <w:r>
        <w:t>promoción acción penal pública en contra de Milagro Amalia Angela Sala, como coautora del delito de fraude a la administración pública por administración infiel, Dieciseis hechos (16 HECHOS) y en contra de Gladis Noemi Díaz y Mirta Liliana Aizama como supuestas coautoras del delito de fraude a la administración pública por administración infiel, DOCE HECHOS (12 HECHOS) previstos y penados por los artículos 174 inciso 5 y 55 del Código Penal de la Nación y conforme los artículos 360 y concordantes del C.P.P.</w:t>
      </w:r>
    </w:p>
    <w:p w:rsidR="000D076D" w:rsidRDefault="00196D49" w:rsidP="000D076D">
      <w:pPr>
        <w:spacing w:line="360" w:lineRule="auto"/>
        <w:jc w:val="both"/>
      </w:pPr>
      <w:r>
        <w:t>S</w:t>
      </w:r>
      <w:r w:rsidR="008D2F22">
        <w:t>e</w:t>
      </w:r>
      <w:r w:rsidR="000D076D">
        <w:t xml:space="preserve"> promo</w:t>
      </w:r>
      <w:r w:rsidR="008D2F22">
        <w:t>vió</w:t>
      </w:r>
      <w:r w:rsidR="000D076D">
        <w:t xml:space="preserve"> acción penal pública en contra de Raúl Eduardo Jorge, Julio Carlos Moisés, Ramón Jorge Ale y Elsa Faustina Flores, como partícipes necesarios del delito de fraude a la administración pública por administración infiel, CUATRO HECHOS PARA CADA UNO EN CONCURSO REAL, conforme los artículos 174 inciso 5, 55 y 45 del Código Penal de la Nación, y artículos 360 y cc. Del C.P.P. </w:t>
      </w:r>
    </w:p>
    <w:p w:rsidR="000D076D" w:rsidRDefault="002A0A2C" w:rsidP="000D076D">
      <w:pPr>
        <w:spacing w:line="360" w:lineRule="auto"/>
        <w:jc w:val="both"/>
      </w:pPr>
      <w:r>
        <w:t>S</w:t>
      </w:r>
      <w:r w:rsidR="00DC29E5">
        <w:t xml:space="preserve">e </w:t>
      </w:r>
      <w:r w:rsidR="000D076D">
        <w:t>promo</w:t>
      </w:r>
      <w:r w:rsidR="00DC29E5">
        <w:t>vió</w:t>
      </w:r>
      <w:r w:rsidR="000D076D">
        <w:t xml:space="preserve"> acción penal pública en contra de C</w:t>
      </w:r>
      <w:r w:rsidR="00CF411A">
        <w:t xml:space="preserve">. </w:t>
      </w:r>
      <w:r w:rsidR="000D076D">
        <w:t>A</w:t>
      </w:r>
      <w:r w:rsidR="00CF411A">
        <w:t>.</w:t>
      </w:r>
      <w:r w:rsidR="000D076D">
        <w:t xml:space="preserve"> T</w:t>
      </w:r>
      <w:r w:rsidR="00CF411A">
        <w:t>.</w:t>
      </w:r>
      <w:r w:rsidR="000D076D">
        <w:t xml:space="preserve"> como organizadora de la asociación ilícita, conforme el artículo 210 del Código Penal de la Nación, y artículos 360 y cc. del C.P.P.</w:t>
      </w:r>
    </w:p>
    <w:p w:rsidR="00FA1F19" w:rsidRDefault="00AB3354" w:rsidP="00FA1F19">
      <w:pPr>
        <w:spacing w:line="360" w:lineRule="auto"/>
        <w:jc w:val="both"/>
        <w:rPr>
          <w:rFonts w:cs="Courier New"/>
          <w:lang w:val="es"/>
        </w:rPr>
      </w:pPr>
      <w:r>
        <w:rPr>
          <w:rFonts w:cs="Courier New"/>
          <w:lang w:val="es"/>
        </w:rPr>
        <w:t>Se pudo acreditar</w:t>
      </w:r>
      <w:r w:rsidR="008A551B">
        <w:rPr>
          <w:rFonts w:cs="Courier New"/>
          <w:lang w:val="es"/>
        </w:rPr>
        <w:t xml:space="preserve"> con el grado de sospecha exigible</w:t>
      </w:r>
      <w:r>
        <w:rPr>
          <w:rFonts w:cs="Courier New"/>
          <w:lang w:val="es"/>
        </w:rPr>
        <w:t xml:space="preserve"> en </w:t>
      </w:r>
      <w:r w:rsidR="00672A02">
        <w:rPr>
          <w:rFonts w:cs="Courier New"/>
          <w:lang w:val="es"/>
        </w:rPr>
        <w:t>est</w:t>
      </w:r>
      <w:r>
        <w:rPr>
          <w:rFonts w:cs="Courier New"/>
          <w:lang w:val="es"/>
        </w:rPr>
        <w:t>as actuaciones</w:t>
      </w:r>
      <w:r w:rsidR="008A551B">
        <w:rPr>
          <w:rFonts w:cs="Courier New"/>
          <w:lang w:val="es"/>
        </w:rPr>
        <w:t>,</w:t>
      </w:r>
      <w:r>
        <w:rPr>
          <w:rFonts w:cs="Courier New"/>
          <w:lang w:val="es"/>
        </w:rPr>
        <w:t xml:space="preserve"> </w:t>
      </w:r>
      <w:r w:rsidR="00672A02">
        <w:rPr>
          <w:rFonts w:cs="Courier New"/>
          <w:lang w:val="es"/>
        </w:rPr>
        <w:t xml:space="preserve">que </w:t>
      </w:r>
      <w:r>
        <w:rPr>
          <w:rFonts w:cs="Courier New"/>
          <w:lang w:val="es"/>
        </w:rPr>
        <w:t>distintos</w:t>
      </w:r>
      <w:r w:rsidR="00FA1F19">
        <w:rPr>
          <w:rFonts w:cs="Courier New"/>
          <w:lang w:val="es"/>
        </w:rPr>
        <w:t xml:space="preserve"> actores, como los que por este acto se imputan</w:t>
      </w:r>
      <w:r w:rsidR="00672A02">
        <w:rPr>
          <w:rFonts w:cs="Courier New"/>
          <w:lang w:val="es"/>
        </w:rPr>
        <w:t>,</w:t>
      </w:r>
      <w:r w:rsidR="00FA1F19">
        <w:rPr>
          <w:rFonts w:cs="Courier New"/>
          <w:lang w:val="es"/>
        </w:rPr>
        <w:t xml:space="preserve"> tuvieron una intervención relevante </w:t>
      </w:r>
      <w:r>
        <w:rPr>
          <w:rFonts w:cs="Courier New"/>
          <w:lang w:val="es"/>
        </w:rPr>
        <w:t xml:space="preserve">que </w:t>
      </w:r>
      <w:r w:rsidR="00FA1F19">
        <w:rPr>
          <w:rFonts w:cs="Courier New"/>
          <w:lang w:val="es"/>
        </w:rPr>
        <w:t xml:space="preserve">conllevaba el inequívoco designio de defraudar al estado provincial a través de la utilización de la propia estructura estatal. </w:t>
      </w:r>
    </w:p>
    <w:p w:rsidR="00FA1F19" w:rsidRPr="00431623" w:rsidRDefault="00672A02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Se sospecha fundadamente con pruebas que la</w:t>
      </w:r>
      <w:r w:rsidR="00FA1F19" w:rsidRPr="00431623">
        <w:rPr>
          <w:rFonts w:cs="Courier New"/>
          <w:b/>
          <w:lang w:val="es"/>
        </w:rPr>
        <w:t xml:space="preserve"> estructura estatal de la que formaban parte como funcionarios</w:t>
      </w:r>
      <w:r w:rsidR="009069E0">
        <w:rPr>
          <w:rFonts w:cs="Courier New"/>
          <w:b/>
          <w:lang w:val="es"/>
        </w:rPr>
        <w:t>,</w:t>
      </w:r>
      <w:r w:rsidR="00FA1F19" w:rsidRPr="00431623">
        <w:rPr>
          <w:rFonts w:cs="Courier New"/>
          <w:b/>
          <w:lang w:val="es"/>
        </w:rPr>
        <w:t xml:space="preserve"> por sus </w:t>
      </w:r>
      <w:r w:rsidR="00FA1F19" w:rsidRPr="00431623">
        <w:rPr>
          <w:rFonts w:cs="Courier New"/>
          <w:b/>
          <w:lang w:val="es"/>
        </w:rPr>
        <w:lastRenderedPageBreak/>
        <w:t>acciones y omisiones</w:t>
      </w:r>
      <w:r w:rsidR="009069E0">
        <w:rPr>
          <w:rFonts w:cs="Courier New"/>
          <w:b/>
          <w:lang w:val="es"/>
        </w:rPr>
        <w:t>,</w:t>
      </w:r>
      <w:r w:rsidR="00FA1F19" w:rsidRPr="00431623">
        <w:rPr>
          <w:rFonts w:cs="Courier New"/>
          <w:b/>
          <w:lang w:val="es"/>
        </w:rPr>
        <w:t xml:space="preserve"> dejó de cumplir sus objetivos institucionales y legales de control del erario público en la ejecución y aplicación de fondos dinerarios para la construcción de viviendas, </w:t>
      </w:r>
      <w:r w:rsidR="007F21D0" w:rsidRPr="00431623">
        <w:rPr>
          <w:rFonts w:cs="Courier New"/>
          <w:b/>
          <w:lang w:val="es"/>
        </w:rPr>
        <w:t>y</w:t>
      </w:r>
      <w:r w:rsidR="00FA1F19" w:rsidRPr="00431623">
        <w:rPr>
          <w:rFonts w:cs="Courier New"/>
          <w:b/>
          <w:lang w:val="es"/>
        </w:rPr>
        <w:t xml:space="preserve"> procurar de esa manera un perjuicio deliberado a la administración pública</w:t>
      </w:r>
      <w:r w:rsidR="008A551B">
        <w:rPr>
          <w:rFonts w:cs="Courier New"/>
          <w:b/>
          <w:lang w:val="es"/>
        </w:rPr>
        <w:t xml:space="preserve"> que alcanza la suma de mil trescientos millones de pesos (1.300 millones de pesos)</w:t>
      </w:r>
      <w:r w:rsidR="00FA1F19" w:rsidRPr="00431623">
        <w:rPr>
          <w:rFonts w:cs="Courier New"/>
          <w:b/>
          <w:lang w:val="es"/>
        </w:rPr>
        <w:t>.</w:t>
      </w:r>
    </w:p>
    <w:p w:rsidR="004D3EDE" w:rsidRDefault="00FA1F19" w:rsidP="00FA1F19">
      <w:pPr>
        <w:spacing w:line="360" w:lineRule="auto"/>
        <w:jc w:val="both"/>
        <w:rPr>
          <w:rFonts w:cs="Courier New"/>
          <w:lang w:val="es"/>
        </w:rPr>
      </w:pPr>
      <w:r>
        <w:rPr>
          <w:rFonts w:cs="Courier New"/>
          <w:lang w:val="es"/>
        </w:rPr>
        <w:t>Los cursos de acción y omisión ejecutados por los ahora imputados, Fellner, Cosentini, desvirtuaron el esquema normativo y de contralor de los recursos estatales</w:t>
      </w:r>
      <w:r w:rsidR="009069E0">
        <w:rPr>
          <w:rFonts w:cs="Courier New"/>
          <w:lang w:val="es"/>
        </w:rPr>
        <w:t xml:space="preserve">. </w:t>
      </w:r>
    </w:p>
    <w:p w:rsidR="004D3EDE" w:rsidRDefault="009069E0" w:rsidP="00FA1F19">
      <w:pPr>
        <w:spacing w:line="360" w:lineRule="auto"/>
        <w:jc w:val="both"/>
        <w:rPr>
          <w:rFonts w:cs="Courier New"/>
          <w:lang w:val="es"/>
        </w:rPr>
      </w:pPr>
      <w:r>
        <w:rPr>
          <w:rFonts w:cs="Courier New"/>
          <w:lang w:val="es"/>
        </w:rPr>
        <w:t>Para tales cometidos</w:t>
      </w:r>
      <w:r w:rsidR="0007062E">
        <w:rPr>
          <w:rFonts w:cs="Courier New"/>
          <w:lang w:val="es"/>
        </w:rPr>
        <w:t>,</w:t>
      </w:r>
      <w:r w:rsidR="00FA1F19">
        <w:rPr>
          <w:rFonts w:cs="Courier New"/>
          <w:lang w:val="es"/>
        </w:rPr>
        <w:t xml:space="preserve"> tenían competencia asignada por leyes y decretos, y sobre todo por el Código Penal de la Nación</w:t>
      </w:r>
      <w:r w:rsidR="003071AF">
        <w:rPr>
          <w:rFonts w:cs="Courier New"/>
          <w:lang w:val="es"/>
        </w:rPr>
        <w:t>,</w:t>
      </w:r>
      <w:r w:rsidR="00FA1F19">
        <w:rPr>
          <w:rFonts w:cs="Courier New"/>
          <w:lang w:val="es"/>
        </w:rPr>
        <w:t xml:space="preserve"> que impone a los funcionarios públicos determinados deberes en el área de su actuación</w:t>
      </w:r>
      <w:r w:rsidR="0007062E">
        <w:rPr>
          <w:rFonts w:cs="Courier New"/>
          <w:lang w:val="es"/>
        </w:rPr>
        <w:t>,</w:t>
      </w:r>
      <w:r w:rsidR="00FA1F19">
        <w:rPr>
          <w:rFonts w:cs="Courier New"/>
          <w:lang w:val="es"/>
        </w:rPr>
        <w:t xml:space="preserve"> en aras de la protección del adecuado funcionamiento de la administración pública, constituy</w:t>
      </w:r>
      <w:r w:rsidR="004D3EDE">
        <w:rPr>
          <w:rFonts w:cs="Courier New"/>
          <w:lang w:val="es"/>
        </w:rPr>
        <w:t>é</w:t>
      </w:r>
      <w:r w:rsidR="00FA1F19">
        <w:rPr>
          <w:rFonts w:cs="Courier New"/>
          <w:lang w:val="es"/>
        </w:rPr>
        <w:t>ndo</w:t>
      </w:r>
      <w:r w:rsidR="004D3EDE">
        <w:rPr>
          <w:rFonts w:cs="Courier New"/>
          <w:lang w:val="es"/>
        </w:rPr>
        <w:t>los</w:t>
      </w:r>
      <w:r w:rsidR="00FA1F19">
        <w:rPr>
          <w:rFonts w:cs="Courier New"/>
          <w:lang w:val="es"/>
        </w:rPr>
        <w:t xml:space="preserve"> en garantes de su indemnidad.</w:t>
      </w:r>
    </w:p>
    <w:p w:rsidR="00FA1F19" w:rsidRDefault="004D3EDE" w:rsidP="00FA1F19">
      <w:pPr>
        <w:spacing w:line="360" w:lineRule="auto"/>
        <w:jc w:val="both"/>
        <w:rPr>
          <w:rFonts w:cs="Courier New"/>
          <w:lang w:val="es"/>
        </w:rPr>
      </w:pPr>
      <w:r>
        <w:rPr>
          <w:rFonts w:cs="Courier New"/>
          <w:lang w:val="es"/>
        </w:rPr>
        <w:t>Sin embargo, l</w:t>
      </w:r>
      <w:r w:rsidR="00FA1F19">
        <w:rPr>
          <w:rFonts w:cs="Courier New"/>
          <w:lang w:val="es"/>
        </w:rPr>
        <w:t>a ausencia de cumplimiento de los procedimientos administrativos y legales previstos en la legislación correspondiente y en el compromiso adquirido mediante la suscripción de convenios marco con la Nación</w:t>
      </w:r>
      <w:r w:rsidR="0007062E">
        <w:rPr>
          <w:rFonts w:cs="Courier New"/>
          <w:lang w:val="es"/>
        </w:rPr>
        <w:t>,</w:t>
      </w:r>
      <w:r>
        <w:rPr>
          <w:rFonts w:cs="Courier New"/>
          <w:lang w:val="es"/>
        </w:rPr>
        <w:t xml:space="preserve"> llevó a la supuesta comisión de ilícitos a los funcionarios y a particulares</w:t>
      </w:r>
      <w:r w:rsidR="00FA1F19">
        <w:rPr>
          <w:rFonts w:cs="Courier New"/>
          <w:lang w:val="es"/>
        </w:rPr>
        <w:t xml:space="preserve">. </w:t>
      </w:r>
    </w:p>
    <w:p w:rsidR="00744E6F" w:rsidRDefault="00B503BA" w:rsidP="00B379DB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lang w:val="es"/>
        </w:rPr>
        <w:t>A su vez l</w:t>
      </w:r>
      <w:r w:rsidR="00FA1F19">
        <w:rPr>
          <w:rFonts w:cs="Courier New"/>
          <w:lang w:val="es"/>
        </w:rPr>
        <w:t>as cooperativas</w:t>
      </w:r>
      <w:r w:rsidR="0047674A">
        <w:rPr>
          <w:rFonts w:cs="Courier New"/>
          <w:lang w:val="es"/>
        </w:rPr>
        <w:t xml:space="preserve"> </w:t>
      </w:r>
      <w:r>
        <w:rPr>
          <w:rFonts w:cs="Courier New"/>
          <w:lang w:val="es"/>
        </w:rPr>
        <w:t xml:space="preserve">de la organización Tupac Amaru, </w:t>
      </w:r>
      <w:r w:rsidR="00FA1F19">
        <w:rPr>
          <w:rFonts w:cs="Courier New"/>
          <w:lang w:val="es"/>
        </w:rPr>
        <w:t>abdicaron de su función y se convirtieron en el dispositivo más importante de la compleja organización de dispositivos destinados a defraudar al estado provincial.</w:t>
      </w:r>
      <w:r w:rsidR="00744E6F">
        <w:rPr>
          <w:rFonts w:cs="Courier New"/>
          <w:lang w:val="es"/>
        </w:rPr>
        <w:t xml:space="preserve"> </w:t>
      </w:r>
      <w:r w:rsidR="00B379DB" w:rsidRPr="00744E6F">
        <w:rPr>
          <w:rFonts w:cs="Courier New"/>
          <w:b/>
          <w:lang w:val="es"/>
        </w:rPr>
        <w:t>El estado provincial, entendido como un ente con finalidades de asegurar la pacífica convivencia social mediante la gestión de prestaciones y aseguramiento de derechos a los ciudadanos, mutó de manera determinante pues quedó desnaturalizado como organización para el bien público, y fue convertido en un reaseguro para la libre comisión de ilícitos.</w:t>
      </w:r>
      <w:r w:rsidR="00744E6F">
        <w:rPr>
          <w:rFonts w:cs="Courier New"/>
          <w:b/>
          <w:lang w:val="es"/>
        </w:rPr>
        <w:t xml:space="preserve"> </w:t>
      </w:r>
    </w:p>
    <w:p w:rsidR="00B379DB" w:rsidRPr="00744E6F" w:rsidRDefault="00B379DB" w:rsidP="00B379DB">
      <w:pPr>
        <w:spacing w:line="360" w:lineRule="auto"/>
        <w:jc w:val="both"/>
        <w:rPr>
          <w:rFonts w:cs="Courier New"/>
          <w:b/>
          <w:lang w:val="es"/>
        </w:rPr>
      </w:pPr>
      <w:r w:rsidRPr="00744E6F">
        <w:rPr>
          <w:rFonts w:cs="Courier New"/>
          <w:b/>
          <w:lang w:val="es"/>
        </w:rPr>
        <w:lastRenderedPageBreak/>
        <w:t>El elemento característico del funcionamiento del estado como matriz de corrupción, tuvo su base en asumir un sentido inequívoco de gestión criminal y a través de las conductas de los exfuncionarios públicos ahora imputado</w:t>
      </w:r>
      <w:r w:rsidR="00744E6F">
        <w:rPr>
          <w:rFonts w:cs="Courier New"/>
          <w:b/>
          <w:lang w:val="es"/>
        </w:rPr>
        <w:t>s (Fellner, Cosentini, Abregú</w:t>
      </w:r>
      <w:r w:rsidR="00B503BA">
        <w:rPr>
          <w:rFonts w:cs="Courier New"/>
          <w:b/>
          <w:lang w:val="es"/>
        </w:rPr>
        <w:t>, Carrizo, Mercado</w:t>
      </w:r>
      <w:r w:rsidR="0066661D">
        <w:rPr>
          <w:rFonts w:cs="Courier New"/>
          <w:b/>
          <w:lang w:val="es"/>
        </w:rPr>
        <w:t>, entre otras personas</w:t>
      </w:r>
      <w:r w:rsidR="00744E6F">
        <w:rPr>
          <w:rFonts w:cs="Courier New"/>
          <w:b/>
          <w:lang w:val="es"/>
        </w:rPr>
        <w:t>)</w:t>
      </w:r>
      <w:r w:rsidR="0066661D">
        <w:rPr>
          <w:rFonts w:cs="Courier New"/>
          <w:b/>
          <w:lang w:val="es"/>
        </w:rPr>
        <w:t xml:space="preserve"> y</w:t>
      </w:r>
      <w:r w:rsidRPr="00744E6F">
        <w:rPr>
          <w:rFonts w:cs="Courier New"/>
          <w:b/>
          <w:lang w:val="es"/>
        </w:rPr>
        <w:t xml:space="preserve"> utilizar el contexto de emergencia habitacional y la ejecución del Programa Federal de Integración Socio-comunitaria para defraudar al estado mediante la administración infiel de los  recursos dinerarios destinados a </w:t>
      </w:r>
      <w:r w:rsidR="0066661D">
        <w:rPr>
          <w:rFonts w:cs="Courier New"/>
          <w:b/>
          <w:lang w:val="es"/>
        </w:rPr>
        <w:t>solventar necesidades de los sectores más vulnerables de la sociedad.</w:t>
      </w:r>
      <w:r w:rsidRPr="00744E6F">
        <w:rPr>
          <w:rFonts w:cs="Courier New"/>
          <w:b/>
          <w:lang w:val="es"/>
        </w:rPr>
        <w:t xml:space="preserve"> </w:t>
      </w:r>
    </w:p>
    <w:p w:rsidR="00B379DB" w:rsidRDefault="00B379DB" w:rsidP="00B379DB">
      <w:pPr>
        <w:spacing w:line="360" w:lineRule="auto"/>
        <w:jc w:val="both"/>
        <w:rPr>
          <w:rFonts w:cs="Courier New"/>
          <w:lang w:val="es"/>
        </w:rPr>
      </w:pPr>
      <w:r>
        <w:rPr>
          <w:rFonts w:cs="Courier New"/>
          <w:lang w:val="es"/>
        </w:rPr>
        <w:t>La forma de llevar a cabo el plan delictivo</w:t>
      </w:r>
      <w:r w:rsidR="0007062E">
        <w:rPr>
          <w:rFonts w:cs="Courier New"/>
          <w:lang w:val="es"/>
        </w:rPr>
        <w:t>,</w:t>
      </w:r>
      <w:r w:rsidRPr="007C1885">
        <w:rPr>
          <w:rFonts w:cs="Courier New"/>
          <w:lang w:val="es"/>
        </w:rPr>
        <w:t xml:space="preserve"> </w:t>
      </w:r>
      <w:r>
        <w:rPr>
          <w:rFonts w:cs="Courier New"/>
          <w:lang w:val="es"/>
        </w:rPr>
        <w:t>consistió en</w:t>
      </w:r>
      <w:r w:rsidRPr="007C1885">
        <w:rPr>
          <w:rFonts w:cs="Courier New"/>
          <w:lang w:val="es"/>
        </w:rPr>
        <w:t xml:space="preserve"> </w:t>
      </w:r>
      <w:r>
        <w:rPr>
          <w:rFonts w:cs="Courier New"/>
          <w:lang w:val="es"/>
        </w:rPr>
        <w:t xml:space="preserve">no </w:t>
      </w:r>
      <w:r w:rsidRPr="007C1885">
        <w:rPr>
          <w:rFonts w:cs="Courier New"/>
          <w:lang w:val="es"/>
        </w:rPr>
        <w:t>ejecu</w:t>
      </w:r>
      <w:r>
        <w:rPr>
          <w:rFonts w:cs="Courier New"/>
          <w:lang w:val="es"/>
        </w:rPr>
        <w:t>tar la construcción de viviendas, o ejecutar en forma anómala la construcción de</w:t>
      </w:r>
      <w:r w:rsidRPr="007C1885">
        <w:rPr>
          <w:rFonts w:cs="Courier New"/>
          <w:lang w:val="es"/>
        </w:rPr>
        <w:t xml:space="preserve"> viviendas en</w:t>
      </w:r>
      <w:r>
        <w:rPr>
          <w:rFonts w:cs="Courier New"/>
          <w:lang w:val="es"/>
        </w:rPr>
        <w:t xml:space="preserve"> distintos municipios </w:t>
      </w:r>
      <w:r w:rsidRPr="007C1885">
        <w:rPr>
          <w:rFonts w:cs="Courier New"/>
          <w:lang w:val="es"/>
        </w:rPr>
        <w:t>a cargo de Cooperativas de Trabajo para la construcción</w:t>
      </w:r>
      <w:r>
        <w:rPr>
          <w:rFonts w:cs="Courier New"/>
          <w:lang w:val="es"/>
        </w:rPr>
        <w:t>, pertenecientes a la organización social Tupac Amaru, liderada por la dirigente social y política, Milagro Amalia Angela Sala.</w:t>
      </w:r>
    </w:p>
    <w:p w:rsidR="00373339" w:rsidRPr="00D428BB" w:rsidRDefault="00373339" w:rsidP="00B379DB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 xml:space="preserve">Las imputaciones que surgen en la presente causa, relativas al funcionamiento de una asociación ilícita, </w:t>
      </w:r>
      <w:r w:rsidR="00BF2E56">
        <w:rPr>
          <w:rFonts w:cs="Courier New"/>
          <w:b/>
          <w:lang w:val="es"/>
        </w:rPr>
        <w:t xml:space="preserve">resultan otra secuencia temporal y material de la </w:t>
      </w:r>
      <w:r w:rsidR="009756B3">
        <w:rPr>
          <w:rFonts w:cs="Courier New"/>
          <w:b/>
          <w:lang w:val="es"/>
        </w:rPr>
        <w:t xml:space="preserve">misma </w:t>
      </w:r>
      <w:r w:rsidR="00BF2E56">
        <w:rPr>
          <w:rFonts w:cs="Courier New"/>
          <w:b/>
          <w:lang w:val="es"/>
        </w:rPr>
        <w:t xml:space="preserve">asociación ilícita, que funcionó y fue develada en el </w:t>
      </w:r>
      <w:r w:rsidR="00D428BB">
        <w:rPr>
          <w:rFonts w:cs="Courier New"/>
          <w:b/>
          <w:lang w:val="es"/>
        </w:rPr>
        <w:t xml:space="preserve">trámite del expte. </w:t>
      </w:r>
      <w:r w:rsidR="00D428BB" w:rsidRPr="00D428BB">
        <w:rPr>
          <w:rFonts w:cs="Courier New"/>
          <w:b/>
        </w:rPr>
        <w:t>Nº P-129.652/16 Y SUS ACUMULADOS EXPTES. Nº 131.113/16 Y Nº 131.072</w:t>
      </w:r>
      <w:r w:rsidR="00D428BB">
        <w:rPr>
          <w:rFonts w:cs="Courier New"/>
          <w:b/>
        </w:rPr>
        <w:t>.</w:t>
      </w:r>
      <w:r w:rsidR="00BF2E56" w:rsidRPr="00D428BB">
        <w:rPr>
          <w:rFonts w:cs="Courier New"/>
          <w:b/>
          <w:lang w:val="es"/>
        </w:rPr>
        <w:t xml:space="preserve"> </w:t>
      </w:r>
    </w:p>
    <w:p w:rsidR="00CF228A" w:rsidRPr="00431623" w:rsidRDefault="00FA1F19" w:rsidP="00FA1F19">
      <w:pPr>
        <w:spacing w:line="360" w:lineRule="auto"/>
        <w:jc w:val="both"/>
        <w:rPr>
          <w:rFonts w:cs="Courier New"/>
          <w:b/>
          <w:lang w:val="es"/>
        </w:rPr>
      </w:pPr>
      <w:r w:rsidRPr="00431623">
        <w:rPr>
          <w:rFonts w:cs="Courier New"/>
          <w:b/>
          <w:lang w:val="es"/>
        </w:rPr>
        <w:t>El programa denominado Socio Comunitario, tenía por objeto la construcción de viviendas a través de cooperativas de trabajo</w:t>
      </w:r>
      <w:r w:rsidR="00CE4458">
        <w:rPr>
          <w:rFonts w:cs="Courier New"/>
          <w:b/>
          <w:lang w:val="es"/>
        </w:rPr>
        <w:t>. S</w:t>
      </w:r>
      <w:r w:rsidRPr="00431623">
        <w:rPr>
          <w:rFonts w:cs="Courier New"/>
          <w:b/>
          <w:lang w:val="es"/>
        </w:rPr>
        <w:t xml:space="preserve">in embargo, quedaron sin construir una gran cantidad de viviendas, que había sido pactada conforme los recursos enviados desde Nación e ingresados al erario provincial. También hubo otras viviendas construidas pero de manera defectuosa y fuera de los esquemas de construcción que debían efectivizarse.   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lastRenderedPageBreak/>
        <w:t xml:space="preserve">Lo precedente surge de diferentes elementos de prueba reunidos en la investigación, </w:t>
      </w:r>
      <w:r w:rsidR="00373339">
        <w:rPr>
          <w:rFonts w:cs="Courier New"/>
          <w:b/>
          <w:lang w:val="es"/>
        </w:rPr>
        <w:t xml:space="preserve">eminentemente documental e instrumental, </w:t>
      </w:r>
      <w:r>
        <w:rPr>
          <w:rFonts w:cs="Courier New"/>
          <w:b/>
          <w:lang w:val="es"/>
        </w:rPr>
        <w:t>entre otros: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1.- Informes técnicos del Ministerio de Infraestructura de la Provincia;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2.- Relevamiento efectuado por el Departamento de Arquitectura del mpA (mediante la utilización de drones, inspección ocular, etc.);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 xml:space="preserve">3.- Informes del Ministerio de Hacienda de la Provincia; 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 xml:space="preserve">4.- Informes del I.V.U.J.; 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5.- Informes del Tribunal de cuentas de la Provincia;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6.- Informes de la U.E.P;</w:t>
      </w:r>
    </w:p>
    <w:p w:rsidR="00510930" w:rsidRDefault="00510930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7.- Informe del Departamento contable del mpA;</w:t>
      </w:r>
    </w:p>
    <w:p w:rsidR="00614D42" w:rsidRDefault="00BE167B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 xml:space="preserve">8.- </w:t>
      </w:r>
      <w:r w:rsidR="00614D42">
        <w:rPr>
          <w:rFonts w:cs="Courier New"/>
          <w:b/>
          <w:lang w:val="es"/>
        </w:rPr>
        <w:t>Informe de la Subsecretaría de Viviendas de la Nación;</w:t>
      </w:r>
    </w:p>
    <w:p w:rsidR="00614D42" w:rsidRDefault="00614D42" w:rsidP="00FA1F19">
      <w:pPr>
        <w:spacing w:line="360" w:lineRule="auto"/>
        <w:jc w:val="both"/>
        <w:rPr>
          <w:rFonts w:cs="Courier New"/>
          <w:b/>
          <w:lang w:val="es"/>
        </w:rPr>
      </w:pPr>
      <w:r>
        <w:rPr>
          <w:rFonts w:cs="Courier New"/>
          <w:b/>
          <w:lang w:val="es"/>
        </w:rPr>
        <w:t>9.- Alrededor de 25 declaraciones testimoniales;</w:t>
      </w:r>
    </w:p>
    <w:p w:rsidR="00FA1F19" w:rsidRDefault="00510930" w:rsidP="00FA1F19">
      <w:pPr>
        <w:spacing w:line="360" w:lineRule="auto"/>
        <w:jc w:val="both"/>
        <w:rPr>
          <w:rFonts w:cs="Courier New"/>
          <w:lang w:val="es"/>
        </w:rPr>
      </w:pPr>
      <w:r>
        <w:rPr>
          <w:rFonts w:cs="Courier New"/>
          <w:b/>
          <w:lang w:val="es"/>
        </w:rPr>
        <w:t xml:space="preserve">  </w:t>
      </w:r>
      <w:r w:rsidR="00FA1F19">
        <w:rPr>
          <w:rFonts w:cs="Courier New"/>
          <w:lang w:val="es"/>
        </w:rPr>
        <w:t xml:space="preserve">    </w:t>
      </w:r>
    </w:p>
    <w:p w:rsidR="00764241" w:rsidRDefault="00764241" w:rsidP="00764241">
      <w:pPr>
        <w:spacing w:line="360" w:lineRule="auto"/>
        <w:rPr>
          <w:rFonts w:cs="Courier New"/>
          <w:bCs/>
        </w:rPr>
      </w:pPr>
    </w:p>
    <w:p w:rsidR="006F7832" w:rsidRDefault="006F7832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Default="00FE63B1" w:rsidP="005A504F">
      <w:pPr>
        <w:rPr>
          <w:rFonts w:cs="Courier New"/>
        </w:rPr>
      </w:pPr>
    </w:p>
    <w:p w:rsidR="00FE63B1" w:rsidRPr="003A78EE" w:rsidRDefault="00FE63B1" w:rsidP="005A504F">
      <w:pPr>
        <w:rPr>
          <w:rFonts w:cs="Courier New"/>
        </w:rPr>
      </w:pPr>
    </w:p>
    <w:sectPr w:rsidR="00FE63B1" w:rsidRPr="003A78EE" w:rsidSect="00CB7EF0">
      <w:headerReference w:type="first" r:id="rId7"/>
      <w:pgSz w:w="11906" w:h="16838" w:code="9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1E" w:rsidRDefault="0061321E">
      <w:r>
        <w:separator/>
      </w:r>
    </w:p>
  </w:endnote>
  <w:endnote w:type="continuationSeparator" w:id="0">
    <w:p w:rsidR="0061321E" w:rsidRDefault="006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URW Chancery 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1E" w:rsidRDefault="0061321E">
      <w:r>
        <w:separator/>
      </w:r>
    </w:p>
  </w:footnote>
  <w:footnote w:type="continuationSeparator" w:id="0">
    <w:p w:rsidR="0061321E" w:rsidRDefault="0061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F" w:rsidRDefault="00D260AA" w:rsidP="009F459F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57200" cy="457200"/>
          <wp:effectExtent l="0" t="0" r="0" b="0"/>
          <wp:docPr id="1" name="Imagen 1" descr="Escudo de la Provincia de Juj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la Provincia de Juju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9F" w:rsidRPr="009F459F" w:rsidRDefault="009F459F" w:rsidP="009F459F">
    <w:pPr>
      <w:pStyle w:val="Encabezado"/>
      <w:jc w:val="center"/>
      <w:rPr>
        <w:rFonts w:ascii="Palace Script MT" w:hAnsi="Palace Script MT" w:cs="URW Chancery L"/>
        <w:sz w:val="44"/>
        <w:szCs w:val="44"/>
        <w:lang w:val="es-AR" w:eastAsia="es-AR"/>
      </w:rPr>
    </w:pPr>
    <w:r w:rsidRPr="009F459F">
      <w:rPr>
        <w:rFonts w:ascii="Palace Script MT" w:hAnsi="Palace Script MT" w:cs="URW Chancery L"/>
        <w:sz w:val="44"/>
        <w:szCs w:val="44"/>
        <w:lang w:val="es-AR" w:eastAsia="es-AR"/>
      </w:rPr>
      <w:t xml:space="preserve">Ministerio   Público   de   </w:t>
    </w:r>
    <w:smartTag w:uri="urn:schemas-microsoft-com:office:smarttags" w:element="PersonName">
      <w:smartTagPr>
        <w:attr w:name="ProductID" w:val="la   Acusaci￳n"/>
      </w:smartTagPr>
      <w:r w:rsidRPr="009F459F">
        <w:rPr>
          <w:rFonts w:ascii="Palace Script MT" w:hAnsi="Palace Script MT" w:cs="URW Chancery L"/>
          <w:sz w:val="44"/>
          <w:szCs w:val="44"/>
          <w:lang w:val="es-AR" w:eastAsia="es-AR"/>
        </w:rPr>
        <w:t>la   Acusación</w:t>
      </w:r>
    </w:smartTag>
  </w:p>
  <w:p w:rsidR="009F459F" w:rsidRPr="009F459F" w:rsidRDefault="009F459F" w:rsidP="009F459F">
    <w:pPr>
      <w:pStyle w:val="Encabezado"/>
      <w:jc w:val="center"/>
      <w:rPr>
        <w:rFonts w:ascii="Palace Script MT" w:hAnsi="Palace Script MT"/>
        <w:sz w:val="44"/>
        <w:szCs w:val="44"/>
      </w:rPr>
    </w:pPr>
    <w:r w:rsidRPr="009F459F">
      <w:rPr>
        <w:rFonts w:ascii="Palace Script MT" w:hAnsi="Palace Script MT" w:cs="URW Chancery L"/>
        <w:sz w:val="44"/>
        <w:szCs w:val="44"/>
        <w:lang w:val="es-AR" w:eastAsia="es-AR"/>
      </w:rPr>
      <w:t>Fiscalía General</w:t>
    </w:r>
  </w:p>
  <w:p w:rsidR="009F459F" w:rsidRDefault="009F4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42"/>
    <w:multiLevelType w:val="hybridMultilevel"/>
    <w:tmpl w:val="A410A7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BDE"/>
    <w:multiLevelType w:val="hybridMultilevel"/>
    <w:tmpl w:val="708AE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3FFE"/>
    <w:multiLevelType w:val="hybridMultilevel"/>
    <w:tmpl w:val="60A06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7AEA"/>
    <w:multiLevelType w:val="hybridMultilevel"/>
    <w:tmpl w:val="9274D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6D"/>
    <w:rsid w:val="0000194B"/>
    <w:rsid w:val="00014285"/>
    <w:rsid w:val="00017F10"/>
    <w:rsid w:val="00055962"/>
    <w:rsid w:val="000658BE"/>
    <w:rsid w:val="0007062E"/>
    <w:rsid w:val="000901D3"/>
    <w:rsid w:val="000D076D"/>
    <w:rsid w:val="00124297"/>
    <w:rsid w:val="0016057A"/>
    <w:rsid w:val="00180971"/>
    <w:rsid w:val="001853FB"/>
    <w:rsid w:val="00196D49"/>
    <w:rsid w:val="001B3F36"/>
    <w:rsid w:val="001B693F"/>
    <w:rsid w:val="00201313"/>
    <w:rsid w:val="00274158"/>
    <w:rsid w:val="0028488C"/>
    <w:rsid w:val="00285864"/>
    <w:rsid w:val="00296DE3"/>
    <w:rsid w:val="002A0426"/>
    <w:rsid w:val="002A0A2C"/>
    <w:rsid w:val="002A75E3"/>
    <w:rsid w:val="002B3F07"/>
    <w:rsid w:val="002C37E7"/>
    <w:rsid w:val="002C43B4"/>
    <w:rsid w:val="002D0FD1"/>
    <w:rsid w:val="002D5DDD"/>
    <w:rsid w:val="002D7CF2"/>
    <w:rsid w:val="002E1309"/>
    <w:rsid w:val="002E7817"/>
    <w:rsid w:val="00302F92"/>
    <w:rsid w:val="003043D4"/>
    <w:rsid w:val="003071AF"/>
    <w:rsid w:val="00314F7D"/>
    <w:rsid w:val="00323BEB"/>
    <w:rsid w:val="00347EB6"/>
    <w:rsid w:val="00373339"/>
    <w:rsid w:val="00377A85"/>
    <w:rsid w:val="003817CA"/>
    <w:rsid w:val="003868A8"/>
    <w:rsid w:val="00397058"/>
    <w:rsid w:val="003A78EE"/>
    <w:rsid w:val="00426DC3"/>
    <w:rsid w:val="00431623"/>
    <w:rsid w:val="00453CD5"/>
    <w:rsid w:val="0047674A"/>
    <w:rsid w:val="00483B52"/>
    <w:rsid w:val="004A43FD"/>
    <w:rsid w:val="004D3EDE"/>
    <w:rsid w:val="00510930"/>
    <w:rsid w:val="00524455"/>
    <w:rsid w:val="005344EE"/>
    <w:rsid w:val="00536846"/>
    <w:rsid w:val="005557F4"/>
    <w:rsid w:val="0056270B"/>
    <w:rsid w:val="005A504F"/>
    <w:rsid w:val="005E3140"/>
    <w:rsid w:val="005E6EAA"/>
    <w:rsid w:val="0060243C"/>
    <w:rsid w:val="0061321E"/>
    <w:rsid w:val="00614D42"/>
    <w:rsid w:val="0066661D"/>
    <w:rsid w:val="00672A02"/>
    <w:rsid w:val="00682F8A"/>
    <w:rsid w:val="00696EA8"/>
    <w:rsid w:val="006E778F"/>
    <w:rsid w:val="006F14D1"/>
    <w:rsid w:val="006F7832"/>
    <w:rsid w:val="00700380"/>
    <w:rsid w:val="007122A2"/>
    <w:rsid w:val="007154A7"/>
    <w:rsid w:val="00725DB8"/>
    <w:rsid w:val="00744E6F"/>
    <w:rsid w:val="00764241"/>
    <w:rsid w:val="00777F07"/>
    <w:rsid w:val="00797D06"/>
    <w:rsid w:val="007B22AA"/>
    <w:rsid w:val="007D290B"/>
    <w:rsid w:val="007E7543"/>
    <w:rsid w:val="007F21D0"/>
    <w:rsid w:val="00807590"/>
    <w:rsid w:val="00824458"/>
    <w:rsid w:val="00835C27"/>
    <w:rsid w:val="00844723"/>
    <w:rsid w:val="00877CA2"/>
    <w:rsid w:val="008A551B"/>
    <w:rsid w:val="008D083C"/>
    <w:rsid w:val="008D2F22"/>
    <w:rsid w:val="008D49A3"/>
    <w:rsid w:val="009069E0"/>
    <w:rsid w:val="009338FB"/>
    <w:rsid w:val="00951971"/>
    <w:rsid w:val="00963B04"/>
    <w:rsid w:val="009756B3"/>
    <w:rsid w:val="00981403"/>
    <w:rsid w:val="00985EE6"/>
    <w:rsid w:val="0099798D"/>
    <w:rsid w:val="009D18FE"/>
    <w:rsid w:val="009F459F"/>
    <w:rsid w:val="00A5534A"/>
    <w:rsid w:val="00A63E2E"/>
    <w:rsid w:val="00A70AA0"/>
    <w:rsid w:val="00A76A49"/>
    <w:rsid w:val="00A819F8"/>
    <w:rsid w:val="00A91D90"/>
    <w:rsid w:val="00AA089F"/>
    <w:rsid w:val="00AA2E0C"/>
    <w:rsid w:val="00AB3354"/>
    <w:rsid w:val="00AD3513"/>
    <w:rsid w:val="00AE1A64"/>
    <w:rsid w:val="00AF32C3"/>
    <w:rsid w:val="00AF6450"/>
    <w:rsid w:val="00B15EB5"/>
    <w:rsid w:val="00B21D44"/>
    <w:rsid w:val="00B3499B"/>
    <w:rsid w:val="00B379DB"/>
    <w:rsid w:val="00B45C2D"/>
    <w:rsid w:val="00B503BA"/>
    <w:rsid w:val="00B53132"/>
    <w:rsid w:val="00B60C17"/>
    <w:rsid w:val="00B648DE"/>
    <w:rsid w:val="00B76A0A"/>
    <w:rsid w:val="00B76B56"/>
    <w:rsid w:val="00B85AB8"/>
    <w:rsid w:val="00B862C8"/>
    <w:rsid w:val="00B91286"/>
    <w:rsid w:val="00B9166A"/>
    <w:rsid w:val="00BB4563"/>
    <w:rsid w:val="00BD4CB9"/>
    <w:rsid w:val="00BE167B"/>
    <w:rsid w:val="00BF2E56"/>
    <w:rsid w:val="00C07384"/>
    <w:rsid w:val="00C659C4"/>
    <w:rsid w:val="00C84226"/>
    <w:rsid w:val="00C91474"/>
    <w:rsid w:val="00CB71C3"/>
    <w:rsid w:val="00CB7EF0"/>
    <w:rsid w:val="00CE11EF"/>
    <w:rsid w:val="00CE42E0"/>
    <w:rsid w:val="00CE4458"/>
    <w:rsid w:val="00CF1200"/>
    <w:rsid w:val="00CF228A"/>
    <w:rsid w:val="00CF411A"/>
    <w:rsid w:val="00D02668"/>
    <w:rsid w:val="00D166D1"/>
    <w:rsid w:val="00D214CE"/>
    <w:rsid w:val="00D260AA"/>
    <w:rsid w:val="00D27348"/>
    <w:rsid w:val="00D355EB"/>
    <w:rsid w:val="00D36359"/>
    <w:rsid w:val="00D428BB"/>
    <w:rsid w:val="00D74BA2"/>
    <w:rsid w:val="00DB0874"/>
    <w:rsid w:val="00DB3A74"/>
    <w:rsid w:val="00DC29E5"/>
    <w:rsid w:val="00DC3ABA"/>
    <w:rsid w:val="00DD0192"/>
    <w:rsid w:val="00E05C1E"/>
    <w:rsid w:val="00E31373"/>
    <w:rsid w:val="00E66094"/>
    <w:rsid w:val="00E848D9"/>
    <w:rsid w:val="00EA3C14"/>
    <w:rsid w:val="00EC15EF"/>
    <w:rsid w:val="00EE10C9"/>
    <w:rsid w:val="00F4707F"/>
    <w:rsid w:val="00F47E4C"/>
    <w:rsid w:val="00F53D95"/>
    <w:rsid w:val="00F60118"/>
    <w:rsid w:val="00F75FEC"/>
    <w:rsid w:val="00FA1F1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4F72E-1772-43C2-8550-6D6C483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D076D"/>
    <w:pPr>
      <w:spacing w:after="200" w:line="276" w:lineRule="auto"/>
    </w:pPr>
    <w:rPr>
      <w:rFonts w:ascii="Courier New" w:eastAsia="Calibri" w:hAnsi="Courier New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2F8A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4"/>
      <w:lang w:val="es-ES" w:eastAsia="es-ES"/>
    </w:rPr>
  </w:style>
  <w:style w:type="paragraph" w:styleId="Piedepgina">
    <w:name w:val="footer"/>
    <w:basedOn w:val="Normal"/>
    <w:rsid w:val="00682F8A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4"/>
      <w:lang w:val="es-ES" w:eastAsia="es-ES"/>
    </w:rPr>
  </w:style>
  <w:style w:type="paragraph" w:customStyle="1" w:styleId="paragraphscx247648707">
    <w:name w:val="paragraph scx247648707"/>
    <w:basedOn w:val="Normal"/>
    <w:rsid w:val="002B3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scx247648707">
    <w:name w:val="normaltextrun scx247648707"/>
    <w:basedOn w:val="Fuentedeprrafopredeter"/>
    <w:rsid w:val="002B3F07"/>
  </w:style>
  <w:style w:type="character" w:customStyle="1" w:styleId="apple-converted-space">
    <w:name w:val="apple-converted-space"/>
    <w:basedOn w:val="Fuentedeprrafopredeter"/>
    <w:rsid w:val="002B3F07"/>
  </w:style>
  <w:style w:type="character" w:customStyle="1" w:styleId="spellingerrorscx247648707">
    <w:name w:val="spellingerror scx247648707"/>
    <w:basedOn w:val="Fuentedeprrafopredeter"/>
    <w:rsid w:val="002B3F07"/>
  </w:style>
  <w:style w:type="character" w:customStyle="1" w:styleId="eopscx247648707">
    <w:name w:val="eop scx247648707"/>
    <w:basedOn w:val="Fuentedeprrafopredeter"/>
    <w:rsid w:val="002B3F07"/>
  </w:style>
  <w:style w:type="paragraph" w:styleId="Textodeglobo">
    <w:name w:val="Balloon Text"/>
    <w:basedOn w:val="Normal"/>
    <w:link w:val="TextodegloboCar"/>
    <w:rsid w:val="0099798D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798D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F7832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Poder Judicial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Dpto. de Sistemas</dc:creator>
  <cp:keywords/>
  <dc:description/>
  <cp:lastModifiedBy>Fiscalia</cp:lastModifiedBy>
  <cp:revision>2</cp:revision>
  <cp:lastPrinted>2017-06-05T14:15:00Z</cp:lastPrinted>
  <dcterms:created xsi:type="dcterms:W3CDTF">2017-06-05T15:21:00Z</dcterms:created>
  <dcterms:modified xsi:type="dcterms:W3CDTF">2017-06-05T15:21:00Z</dcterms:modified>
</cp:coreProperties>
</file>